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Led экран для помещения Q2.5 PRO INDOOR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1920×2880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36"/>
          <w:szCs w:val="36"/>
          <w:highlight w:val="whit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Led екран для приміщення Q2.5 PRO INDOOR 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1920×2880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0"/>
        </w:rPr>
        <w:t xml:space="preserve">На сьогоднішній день налічується більше десяти модифікацій внутрішніх світлодіодних екранів, які широко застосовуються для трансляції рекламного контента в торгових центрах. До таких led екранів відносяться: світлодіодні пілони; внутрішні медіа вивіски; прозорі екрани; відео стовпи і багато інших. Такі екрани дозволяють залучати більше уваги до вашого магазину, товару або бренду за рахунок динамічної і яскравої відео реклами, зі звуковим супроводом.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На сегодняшний день насчитывается более десяти модификаций внутренних светодиодных экранов, которые широко применяются для трансляции рекламного контента в торговых центрах. К таким led экранам относятся: светодиодные пилоны; внутренние медиавывески; транспарентные экраны; видео столбы и многие другие. Такие экраны позволяют привлекать больше внимания к вашему магазину, товару или бренду за счет динамичной и яркой видео рекламы, со звуковым сопровождением.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Размер экрана (мм)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1920×2880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Площадь экрана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5.5296m2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Тип экрана - outdoor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Шаг пикселя - 2.5мм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Оптимальное расстояние просмотра - от 2.5 м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Яркость - 1000 кд/м2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Кол. оттенков - 16,7 млн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Потребляемая мощность (Средняя) -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1100W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Класс защиты -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IP65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Срок службы - 100 000 часов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Розмір екрану (мм)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1920×2880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Площа екрана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5.5296m2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Тип екрану - outdoor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Крок пікселя - 2.5мм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Оптимальна відстань перегляду - від 2.5 м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Яскравість - 1000 кд / м2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Кол. відтінків - 16,7 млн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Споживана потужність (Середня) -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1100W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Клас захисту -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IP65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Термін служби - 100 000 годин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200" w:line="240" w:lineRule="auto"/>
        <w:jc w:val="center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54"/>
          <w:szCs w:val="54"/>
          <w:rtl w:val="0"/>
        </w:rPr>
        <w:t xml:space="preserve">Характеристики</w:t>
      </w:r>
    </w:p>
    <w:tbl>
      <w:tblPr>
        <w:tblStyle w:val="Table1"/>
        <w:tblW w:w="4695.0" w:type="dxa"/>
        <w:jc w:val="left"/>
        <w:tblInd w:w="-74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3"/>
        <w:gridCol w:w="1842"/>
        <w:tblGridChange w:id="0">
          <w:tblGrid>
            <w:gridCol w:w="2853"/>
            <w:gridCol w:w="1842"/>
          </w:tblGrid>
        </w:tblGridChange>
      </w:tblGrid>
      <w:tr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INDOOR 2x3 HD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Исполнение 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Indoor</w:t>
            </w:r>
          </w:p>
        </w:tc>
      </w:tr>
      <w:tr>
        <w:tc>
          <w:tcPr/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светодиода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SMD2121</w:t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Шаг пикселя (мм)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2.5</w:t>
            </w:r>
          </w:p>
        </w:tc>
      </w:tr>
      <w:tr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Разрешение экрана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768×1152</w:t>
            </w:r>
          </w:p>
        </w:tc>
      </w:tr>
      <w:tr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экрана (мм)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1920×2880</w:t>
            </w:r>
          </w:p>
        </w:tc>
      </w:tr>
      <w:tr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Габаритный размер (мм)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2000×3000×80</w:t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Площадь экрана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5.5296m2</w:t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(Максимальная)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2700W</w:t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(Средняя)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1100W</w:t>
            </w:r>
          </w:p>
        </w:tc>
      </w:tr>
      <w:tr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Яркость (нит)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1000</w:t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Угол обзора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140° / 140°</w:t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Входное напряжение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AC220</w:t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Частота обновления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1920HZ</w:t>
            </w:r>
          </w:p>
        </w:tc>
      </w:tr>
      <w:tr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Рабочая температура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-20°C~60°C</w:t>
            </w:r>
          </w:p>
        </w:tc>
      </w:tr>
      <w:tr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Срок службы (часов)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100,000</w:t>
            </w:r>
          </w:p>
        </w:tc>
      </w:tr>
      <w:tr>
        <w:tc>
          <w:tcPr/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Защита IP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IP65</w:t>
            </w:r>
          </w:p>
        </w:tc>
      </w:tr>
      <w:tr>
        <w:trPr>
          <w:trHeight w:val="245.9765625" w:hRule="atLeast"/>
        </w:trPr>
        <w:tc>
          <w:tcPr/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Глубина цвета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16bit</w:t>
            </w:r>
          </w:p>
        </w:tc>
      </w:tr>
    </w:tbl>
    <w:p w:rsidR="00000000" w:rsidDel="00000000" w:rsidP="00000000" w:rsidRDefault="00000000" w:rsidRPr="00000000" w14:paraId="00000045">
      <w:pPr>
        <w:spacing w:after="200" w:line="276" w:lineRule="auto"/>
        <w:rPr>
          <w:rFonts w:ascii="Helvetica Neue" w:cs="Helvetica Neue" w:eastAsia="Helvetica Neue" w:hAnsi="Helvetica Neue"/>
          <w:color w:val="333333"/>
          <w:sz w:val="54"/>
          <w:szCs w:val="5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